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231C76" w14:textId="012B6EA9" w:rsidR="00EF2259" w:rsidRDefault="00EF2259" w:rsidP="00EF22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ZÁZNAM Z TESTU NEVYHNUTNOSTI</w:t>
      </w:r>
      <w:r w:rsidR="00A26547">
        <w:rPr>
          <w:b/>
          <w:bCs/>
          <w:sz w:val="23"/>
          <w:szCs w:val="23"/>
        </w:rPr>
        <w:t xml:space="preserve"> zo dňa </w:t>
      </w:r>
      <w:r w:rsidR="002F3C50">
        <w:rPr>
          <w:b/>
          <w:bCs/>
          <w:sz w:val="23"/>
          <w:szCs w:val="23"/>
        </w:rPr>
        <w:t>06.06.2024</w:t>
      </w:r>
    </w:p>
    <w:p w14:paraId="0B126B4B" w14:textId="5CAACD8C" w:rsidR="00A9071C" w:rsidRDefault="00A9071C" w:rsidP="00EF2259">
      <w:pPr>
        <w:pStyle w:val="Default"/>
        <w:jc w:val="center"/>
        <w:rPr>
          <w:b/>
          <w:bCs/>
          <w:sz w:val="23"/>
          <w:szCs w:val="23"/>
        </w:rPr>
      </w:pPr>
    </w:p>
    <w:p w14:paraId="6C0B2377" w14:textId="025C87F1" w:rsidR="00EF2259" w:rsidRDefault="00EF2259" w:rsidP="00EF2259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90"/>
        <w:gridCol w:w="1563"/>
        <w:gridCol w:w="1563"/>
      </w:tblGrid>
      <w:tr w:rsidR="00EF2259" w14:paraId="767BE23B" w14:textId="6F2E32D9" w:rsidTr="00EF2259">
        <w:tc>
          <w:tcPr>
            <w:tcW w:w="5890" w:type="dxa"/>
          </w:tcPr>
          <w:p w14:paraId="66D92FC6" w14:textId="54B28451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Podmienky testu nevyhnutnosti</w:t>
            </w:r>
          </w:p>
        </w:tc>
        <w:tc>
          <w:tcPr>
            <w:tcW w:w="1563" w:type="dxa"/>
          </w:tcPr>
          <w:p w14:paraId="350AB2D8" w14:textId="106DD172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563" w:type="dxa"/>
          </w:tcPr>
          <w:p w14:paraId="5A61926A" w14:textId="680E8262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F2259" w14:paraId="2739EED0" w14:textId="6C3AC658" w:rsidTr="00EF2259">
        <w:tc>
          <w:tcPr>
            <w:tcW w:w="5890" w:type="dxa"/>
          </w:tcPr>
          <w:p w14:paraId="700DF80D" w14:textId="77777777" w:rsidR="00EF2259" w:rsidRP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Nedostatočná personálna kapacita</w:t>
            </w:r>
          </w:p>
          <w:p w14:paraId="09A2E281" w14:textId="68FC028E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48D82616" w14:textId="615B670E" w:rsidR="00EF2259" w:rsidRDefault="00875346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563" w:type="dxa"/>
          </w:tcPr>
          <w:p w14:paraId="25D81601" w14:textId="77777777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59" w14:paraId="78636952" w14:textId="6DD0FDE6" w:rsidTr="00C149A9">
        <w:tc>
          <w:tcPr>
            <w:tcW w:w="9016" w:type="dxa"/>
            <w:gridSpan w:val="3"/>
          </w:tcPr>
          <w:p w14:paraId="71C475DF" w14:textId="2F775001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Odôvodnenie:</w:t>
            </w:r>
          </w:p>
          <w:p w14:paraId="05A96315" w14:textId="1824A894" w:rsidR="00EF2259" w:rsidRDefault="002F3C50" w:rsidP="00A144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Spoločnosť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Verejné prístavy, a. s.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 má zriadené interné právne oddelenie, ktoré je v súčasnosti obsadené 1 interným právnik. Interný právnik momentálne čerpá rodičovskú dovolenku, pričom nie je interne zastúpený.  Spoločnosť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Verejné prístavy, a. s.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na zastrešenie právne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agendy zamestnáva 3 zamestnancov s právnickým vzdelaním. Títo zamestnanci vykonávajú  prácu na základe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ohody o pracovnej činnosti, respektíve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>ohody o vykonaní práce, t. j. sú pri vykonávaní práce časovo obmedzený.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Táto podmienka je pre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zastupovanie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(právne služby) uvedené na prvej strane splnená.</w:t>
            </w:r>
          </w:p>
        </w:tc>
      </w:tr>
      <w:tr w:rsidR="00EF2259" w14:paraId="26B42BAB" w14:textId="55B8C971" w:rsidTr="00EF2259">
        <w:tc>
          <w:tcPr>
            <w:tcW w:w="5890" w:type="dxa"/>
          </w:tcPr>
          <w:p w14:paraId="6A67B0DA" w14:textId="325010FA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 xml:space="preserve">Podstata právnej služby nespočíva vo vlastnej rozhodovacej činnosti </w:t>
            </w:r>
            <w:r w:rsidR="005B5392">
              <w:rPr>
                <w:rFonts w:ascii="Times New Roman" w:hAnsi="Times New Roman" w:cs="Times New Roman"/>
                <w:sz w:val="24"/>
                <w:szCs w:val="24"/>
              </w:rPr>
              <w:t>spoločnosti Verejné prístavy, a. s.</w:t>
            </w:r>
            <w:r w:rsidR="005B5392"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 xml:space="preserve"> alebo v priamej súvislosti s ňou </w:t>
            </w:r>
          </w:p>
        </w:tc>
        <w:tc>
          <w:tcPr>
            <w:tcW w:w="1563" w:type="dxa"/>
          </w:tcPr>
          <w:p w14:paraId="26F88287" w14:textId="242EB078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563" w:type="dxa"/>
          </w:tcPr>
          <w:p w14:paraId="2D14E5CB" w14:textId="77777777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59" w14:paraId="7F4AEA15" w14:textId="15C06C3F" w:rsidTr="000767D1">
        <w:tc>
          <w:tcPr>
            <w:tcW w:w="9016" w:type="dxa"/>
            <w:gridSpan w:val="3"/>
          </w:tcPr>
          <w:p w14:paraId="0A559589" w14:textId="54E25CA4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Odôvodnenie:</w:t>
            </w:r>
          </w:p>
          <w:p w14:paraId="12057C04" w14:textId="75D4F4C8" w:rsidR="00EF2259" w:rsidRDefault="002F3C50" w:rsidP="008753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ejedná sa o rozhodovaciu činnosť, nakoľko spoločnosť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Verejné prístavy, a. s.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nie je štátny orgán, ktorý by vykonával samostatnú rozhodovaciu činnosť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259" w14:paraId="4F65A297" w14:textId="777351BC" w:rsidTr="00EF2259">
        <w:tc>
          <w:tcPr>
            <w:tcW w:w="5890" w:type="dxa"/>
          </w:tcPr>
          <w:p w14:paraId="78032B93" w14:textId="4080A275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 xml:space="preserve">Podstata právnej služby nespočíva v legislatívnej činnosti </w:t>
            </w:r>
            <w:r w:rsidR="005B5392">
              <w:rPr>
                <w:rFonts w:ascii="Times New Roman" w:hAnsi="Times New Roman" w:cs="Times New Roman"/>
                <w:sz w:val="24"/>
                <w:szCs w:val="24"/>
              </w:rPr>
              <w:t>spoločnosti Verejné prístavy, a. s.</w:t>
            </w:r>
            <w:r w:rsidR="005B5392"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 xml:space="preserve">alebo v priamej súvislosti s ňou </w:t>
            </w:r>
          </w:p>
        </w:tc>
        <w:tc>
          <w:tcPr>
            <w:tcW w:w="1563" w:type="dxa"/>
          </w:tcPr>
          <w:p w14:paraId="2CABA1A9" w14:textId="7557B22F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563" w:type="dxa"/>
          </w:tcPr>
          <w:p w14:paraId="1E13808D" w14:textId="77777777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59" w14:paraId="1F347A18" w14:textId="6D376063" w:rsidTr="00416A8C">
        <w:tc>
          <w:tcPr>
            <w:tcW w:w="9016" w:type="dxa"/>
            <w:gridSpan w:val="3"/>
          </w:tcPr>
          <w:p w14:paraId="7FF98F1B" w14:textId="77777777" w:rsidR="00875346" w:rsidRDefault="00EF2259" w:rsidP="008753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Odôvodnenie:</w:t>
            </w:r>
            <w:r w:rsidR="0087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99487" w14:textId="66831447" w:rsidR="00EF2259" w:rsidRDefault="00875346" w:rsidP="00016F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Spoločnosť Verejné prístavy, a. s. nie je štátny orgán, ktorý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vykonával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legislatívnu činnosť;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jedná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3C50">
              <w:rPr>
                <w:rFonts w:ascii="Times New Roman" w:hAnsi="Times New Roman" w:cs="Times New Roman"/>
                <w:sz w:val="24"/>
                <w:szCs w:val="24"/>
              </w:rPr>
              <w:t xml:space="preserve"> generálne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právne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 xml:space="preserve">zastupovanie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 xml:space="preserve">poločnosti Verejné prístavy, a. s. </w:t>
            </w:r>
            <w:r w:rsidR="002F3C50" w:rsidRPr="0085436D">
              <w:rPr>
                <w:rFonts w:ascii="Times New Roman" w:hAnsi="Times New Roman" w:cs="Times New Roman"/>
                <w:sz w:val="24"/>
                <w:szCs w:val="24"/>
              </w:rPr>
              <w:t>počas majetkovo - právneho vysporiadania vzťahov vo verejnom prístave Bratislava a</w:t>
            </w:r>
            <w:r w:rsidR="002F3C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3C50" w:rsidRPr="0085436D">
              <w:rPr>
                <w:rFonts w:ascii="Times New Roman" w:hAnsi="Times New Roman" w:cs="Times New Roman"/>
                <w:sz w:val="24"/>
                <w:szCs w:val="24"/>
              </w:rPr>
              <w:t>Komárno</w:t>
            </w:r>
            <w:r w:rsidR="002F3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259" w14:paraId="1A85AC22" w14:textId="5343BB82" w:rsidTr="00EF2259">
        <w:tc>
          <w:tcPr>
            <w:tcW w:w="5890" w:type="dxa"/>
          </w:tcPr>
          <w:p w14:paraId="6FA4FDE1" w14:textId="77777777" w:rsidR="00EF2259" w:rsidRP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Významnosť predmetu právnej služby</w:t>
            </w:r>
          </w:p>
          <w:p w14:paraId="3B3C9E32" w14:textId="77777777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F8DB5D7" w14:textId="50FC475F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563" w:type="dxa"/>
          </w:tcPr>
          <w:p w14:paraId="687D5A78" w14:textId="77777777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50" w14:paraId="70A3214B" w14:textId="2C0496A5" w:rsidTr="005B5392">
        <w:trPr>
          <w:trHeight w:val="6889"/>
        </w:trPr>
        <w:tc>
          <w:tcPr>
            <w:tcW w:w="9016" w:type="dxa"/>
            <w:gridSpan w:val="3"/>
            <w:vAlign w:val="center"/>
          </w:tcPr>
          <w:p w14:paraId="471404BE" w14:textId="4DADCA06" w:rsidR="002F3C50" w:rsidRDefault="002F3C50" w:rsidP="002F3C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Majetkovo - právne vysporiadanie vzťahov vo verejnom prístave Bratislava a Komárno je pre spoločnosť mimoriadne významné. Prístav Bratislava je strategicky najvýznamnejším verejným prístavom na Slovensku. Leží na križovatke </w:t>
            </w:r>
            <w:proofErr w:type="spellStart"/>
            <w:r w:rsidRPr="0085436D">
              <w:rPr>
                <w:rFonts w:ascii="Times New Roman" w:hAnsi="Times New Roman" w:cs="Times New Roman"/>
                <w:sz w:val="24"/>
                <w:szCs w:val="24"/>
              </w:rPr>
              <w:t>Rýnsko</w:t>
            </w:r>
            <w:proofErr w:type="spellEnd"/>
            <w:r w:rsidRPr="0085436D">
              <w:rPr>
                <w:rFonts w:ascii="Times New Roman" w:hAnsi="Times New Roman" w:cs="Times New Roman"/>
                <w:sz w:val="24"/>
                <w:szCs w:val="24"/>
              </w:rPr>
              <w:t xml:space="preserve"> – Dunajského a </w:t>
            </w:r>
            <w:proofErr w:type="spellStart"/>
            <w:r w:rsidRPr="0085436D">
              <w:rPr>
                <w:rFonts w:ascii="Times New Roman" w:hAnsi="Times New Roman" w:cs="Times New Roman"/>
                <w:sz w:val="24"/>
                <w:szCs w:val="24"/>
              </w:rPr>
              <w:t>Balticko</w:t>
            </w:r>
            <w:proofErr w:type="spellEnd"/>
            <w:r w:rsidRPr="0085436D">
              <w:rPr>
                <w:rFonts w:ascii="Times New Roman" w:hAnsi="Times New Roman" w:cs="Times New Roman"/>
                <w:sz w:val="24"/>
                <w:szCs w:val="24"/>
              </w:rPr>
              <w:t xml:space="preserve"> – Jadranského koridoru </w:t>
            </w:r>
            <w:proofErr w:type="spellStart"/>
            <w:r w:rsidRPr="0085436D">
              <w:rPr>
                <w:rFonts w:ascii="Times New Roman" w:hAnsi="Times New Roman" w:cs="Times New Roman"/>
                <w:sz w:val="24"/>
                <w:szCs w:val="24"/>
              </w:rPr>
              <w:t>Transeurópskej</w:t>
            </w:r>
            <w:proofErr w:type="spellEnd"/>
            <w:r w:rsidRPr="0085436D">
              <w:rPr>
                <w:rFonts w:ascii="Times New Roman" w:hAnsi="Times New Roman" w:cs="Times New Roman"/>
                <w:sz w:val="24"/>
                <w:szCs w:val="24"/>
              </w:rPr>
              <w:t xml:space="preserve"> dopravnej siete TEN-T. Jeho strategická poloha ho predurčuje zastávať významné miesto v sieti vnútrozemských prístavov na Dunaji. Jednou z rozhodujúcich iniciatív Európskej komisie smerujúcich k zvýšeniu konkurencieschopnosti dopravy 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436D">
              <w:rPr>
                <w:rFonts w:ascii="Times New Roman" w:hAnsi="Times New Roman" w:cs="Times New Roman"/>
                <w:sz w:val="24"/>
                <w:szCs w:val="24"/>
              </w:rPr>
              <w:t>zníženiu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6D">
              <w:rPr>
                <w:rFonts w:ascii="Times New Roman" w:hAnsi="Times New Roman" w:cs="Times New Roman"/>
                <w:sz w:val="24"/>
                <w:szCs w:val="24"/>
              </w:rPr>
              <w:t xml:space="preserve">environmentálneho zaťaženia je Biela kniha Európskej komisie o vytvorení konkurencieschopného dopravného systému efektívne využívajúceho zdroje. Nedostatočne využívané vnútrozemské vodné cesty majú hrať čoraz dôležitejšiu úlohu, najmä pri preprave tovaru do vnútrozemia a pri spájaní európskych morí. Prístav Bratislava v súčasnosti plní funkcie univerzálneho, nákladného aj osobného prístavu.  </w:t>
            </w:r>
            <w:r w:rsidRPr="0085436D">
              <w:rPr>
                <w:rStyle w:val="wixui-rich-text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Prístav Komárno je druhý najdôležitejší prístav na Slovensku. Od prístavu v Bratislave je vzdialený 100 km po prúde. Je považovaný za východiskový bod „Vážskej vodnej cesty“. </w:t>
            </w:r>
            <w:r w:rsidRPr="0085436D">
              <w:rPr>
                <w:rFonts w:ascii="Times New Roman" w:hAnsi="Times New Roman" w:cs="Times New Roman"/>
                <w:sz w:val="24"/>
                <w:szCs w:val="24"/>
              </w:rPr>
              <w:t xml:space="preserve">Spoločnosť Verejné prístavy, a. s. ako obchodná spoločnosť, ktorej jediným akcionárom je Slovenská republika si nemôže dovoliť zanedbať uplatňovanie a vysporiadanie svojich majetkovo -právnych nárokov.  Priebeh transakcie majetkovo - právneho vysporiadania, je predpokladom ďalšieho rozvoja verejné prístavu Bratislava a Komárno, a možnosti čerpania prostriedkov zo zdrojov EÚ, čo predstavuje  strategický a hospodársky význam pripravovanej transakcie. </w:t>
            </w:r>
          </w:p>
        </w:tc>
      </w:tr>
    </w:tbl>
    <w:p w14:paraId="32D7D7D5" w14:textId="6CC2EE08" w:rsidR="00EF2259" w:rsidRDefault="00EF2259" w:rsidP="00EF225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D328AFE" w14:textId="670ADCE8" w:rsidR="00A9071C" w:rsidRDefault="00A9071C" w:rsidP="00EF225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6C997AF" w14:textId="1ECCE187" w:rsidR="00A9071C" w:rsidRDefault="00A9071C" w:rsidP="00EF225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181913B" w14:textId="77777777" w:rsidR="00A9071C" w:rsidRDefault="00A9071C" w:rsidP="00EF225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2C8E36B" w14:textId="201A74A5" w:rsidR="00A9071C" w:rsidRDefault="00A9071C" w:rsidP="007E6A0C">
      <w:pPr>
        <w:widowControl w:val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Lenka</w:t>
      </w:r>
      <w:r w:rsidR="007E6A0C">
        <w:rPr>
          <w:rFonts w:ascii="Times New Roman" w:hAnsi="Times New Roman" w:cs="Times New Roman"/>
          <w:sz w:val="24"/>
          <w:szCs w:val="24"/>
        </w:rPr>
        <w:t xml:space="preserve"> Rebrová</w:t>
      </w:r>
      <w:r>
        <w:rPr>
          <w:rFonts w:ascii="Times New Roman" w:hAnsi="Times New Roman" w:cs="Times New Roman"/>
          <w:sz w:val="24"/>
          <w:szCs w:val="24"/>
        </w:rPr>
        <w:t xml:space="preserve"> Papcunová</w:t>
      </w:r>
    </w:p>
    <w:p w14:paraId="27251397" w14:textId="77777777" w:rsidR="00A9071C" w:rsidRDefault="00A9071C" w:rsidP="007E6A0C">
      <w:pPr>
        <w:widowControl w:val="0"/>
        <w:spacing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Verejné prístavy, a. s.</w:t>
      </w:r>
    </w:p>
    <w:p w14:paraId="56EA1F8A" w14:textId="77777777" w:rsidR="00A9071C" w:rsidRPr="00A849CA" w:rsidRDefault="00A9071C" w:rsidP="00EF2259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A9071C" w:rsidRPr="00A849CA" w:rsidSect="000271C9">
      <w:headerReference w:type="default" r:id="rId7"/>
      <w:footerReference w:type="default" r:id="rId8"/>
      <w:pgSz w:w="11906" w:h="16838"/>
      <w:pgMar w:top="0" w:right="1440" w:bottom="1440" w:left="1440" w:header="425" w:footer="70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7D5AC" w14:textId="77777777" w:rsidR="006F76B9" w:rsidRDefault="006F76B9">
      <w:r>
        <w:separator/>
      </w:r>
    </w:p>
  </w:endnote>
  <w:endnote w:type="continuationSeparator" w:id="0">
    <w:p w14:paraId="0E91F6E2" w14:textId="77777777" w:rsidR="006F76B9" w:rsidRDefault="006F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2693"/>
      <w:gridCol w:w="3543"/>
    </w:tblGrid>
    <w:tr w:rsidR="00A849CA" w:rsidRPr="00C7714A" w14:paraId="5F7E4A9C" w14:textId="77777777" w:rsidTr="00A849CA">
      <w:trPr>
        <w:trHeight w:val="699"/>
      </w:trPr>
      <w:tc>
        <w:tcPr>
          <w:tcW w:w="3261" w:type="dxa"/>
          <w:tcBorders>
            <w:top w:val="single" w:sz="4" w:space="0" w:color="auto"/>
          </w:tcBorders>
        </w:tcPr>
        <w:p w14:paraId="102E869A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IČO: 36 856 541 </w:t>
          </w:r>
        </w:p>
        <w:p w14:paraId="63EE7A24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DIČ: 2022534008 </w:t>
          </w:r>
        </w:p>
        <w:p w14:paraId="4ED099C2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IČ DPH: SK2022534008 </w:t>
          </w:r>
        </w:p>
      </w:tc>
      <w:tc>
        <w:tcPr>
          <w:tcW w:w="2693" w:type="dxa"/>
          <w:tcBorders>
            <w:top w:val="single" w:sz="4" w:space="0" w:color="auto"/>
          </w:tcBorders>
        </w:tcPr>
        <w:p w14:paraId="33A789C9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>bankové spojenie: VÚB, a. s.</w:t>
          </w:r>
        </w:p>
        <w:p w14:paraId="3D5DA37C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č. ú. 2416168551/0200       </w:t>
          </w:r>
        </w:p>
        <w:p w14:paraId="4C55A01E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IBAN : SK6102000000002416168551   </w:t>
          </w:r>
        </w:p>
      </w:tc>
      <w:tc>
        <w:tcPr>
          <w:tcW w:w="3543" w:type="dxa"/>
          <w:tcBorders>
            <w:top w:val="single" w:sz="4" w:space="0" w:color="auto"/>
          </w:tcBorders>
        </w:tcPr>
        <w:p w14:paraId="0BEC7119" w14:textId="5099F6F3" w:rsidR="00A849CA" w:rsidRPr="004B3D6E" w:rsidRDefault="00A849CA" w:rsidP="000271C9">
          <w:pPr>
            <w:widowControl w:val="0"/>
            <w:ind w:left="642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Obchodný register </w:t>
          </w:r>
          <w:r w:rsidR="00741DF3">
            <w:rPr>
              <w:rFonts w:ascii="Times New Roman" w:hAnsi="Times New Roman" w:cs="Times New Roman"/>
              <w:sz w:val="16"/>
              <w:szCs w:val="16"/>
            </w:rPr>
            <w:t>Mestského</w:t>
          </w: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 súdu Bratislava I</w:t>
          </w:r>
          <w:r w:rsidR="00741DF3">
            <w:rPr>
              <w:rFonts w:ascii="Times New Roman" w:hAnsi="Times New Roman" w:cs="Times New Roman"/>
              <w:sz w:val="16"/>
              <w:szCs w:val="16"/>
            </w:rPr>
            <w:t>II</w:t>
          </w:r>
        </w:p>
        <w:p w14:paraId="08BB8987" w14:textId="77777777" w:rsidR="00A849CA" w:rsidRPr="004B3D6E" w:rsidRDefault="00A849CA" w:rsidP="000271C9">
          <w:pPr>
            <w:widowControl w:val="0"/>
            <w:ind w:left="642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oddiel Sa, vložka č.</w:t>
          </w:r>
          <w:r w:rsidRPr="004B3D6E">
            <w:rPr>
              <w:rFonts w:ascii="Times New Roman" w:hAnsi="Times New Roman" w:cs="Times New Roman"/>
              <w:sz w:val="16"/>
              <w:szCs w:val="16"/>
            </w:rPr>
            <w:t>4395/B</w:t>
          </w:r>
        </w:p>
        <w:p w14:paraId="1D97B16C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tbl>
    <w:tblPr>
      <w:tblStyle w:val="a3"/>
      <w:tblW w:w="9026" w:type="dxa"/>
      <w:tblInd w:w="100" w:type="dxa"/>
      <w:tblLayout w:type="fixed"/>
      <w:tblLook w:val="0600" w:firstRow="0" w:lastRow="0" w:firstColumn="0" w:lastColumn="0" w:noHBand="1" w:noVBand="1"/>
    </w:tblPr>
    <w:tblGrid>
      <w:gridCol w:w="3008"/>
      <w:gridCol w:w="3009"/>
      <w:gridCol w:w="3009"/>
    </w:tblGrid>
    <w:tr w:rsidR="00337BDB" w14:paraId="08D981C2" w14:textId="77777777" w:rsidTr="00337BDB">
      <w:tc>
        <w:tcPr>
          <w:tcW w:w="3008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B011C5D" w14:textId="77777777" w:rsidR="00337BDB" w:rsidRDefault="00337BDB" w:rsidP="00337BDB"/>
      </w:tc>
      <w:tc>
        <w:tcPr>
          <w:tcW w:w="3009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4A9DF85" w14:textId="77777777" w:rsidR="00337BDB" w:rsidRDefault="00337BDB" w:rsidP="00337BDB"/>
      </w:tc>
      <w:tc>
        <w:tcPr>
          <w:tcW w:w="3009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3F0D2F3" w14:textId="77777777" w:rsidR="00337BDB" w:rsidRDefault="00337BDB" w:rsidP="00337BDB"/>
      </w:tc>
    </w:tr>
  </w:tbl>
  <w:p w14:paraId="1B539BE9" w14:textId="77777777" w:rsidR="0028627E" w:rsidRDefault="0028627E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06BF5" w14:textId="77777777" w:rsidR="006F76B9" w:rsidRDefault="006F76B9">
      <w:r>
        <w:separator/>
      </w:r>
    </w:p>
  </w:footnote>
  <w:footnote w:type="continuationSeparator" w:id="0">
    <w:p w14:paraId="0055B0F8" w14:textId="77777777" w:rsidR="006F76B9" w:rsidRDefault="006F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7907C" w14:textId="77777777" w:rsidR="0028627E" w:rsidRDefault="006014A3">
    <w:pPr>
      <w:widowControl w:val="0"/>
    </w:pPr>
    <w:r w:rsidRPr="00952955">
      <w:rPr>
        <w:noProof/>
      </w:rPr>
      <w:drawing>
        <wp:inline distT="0" distB="0" distL="0" distR="0" wp14:anchorId="6BF53004" wp14:editId="384001CA">
          <wp:extent cx="2028825" cy="101917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2"/>
      <w:tblW w:w="9026" w:type="dxa"/>
      <w:tblInd w:w="0" w:type="dxa"/>
      <w:tblLayout w:type="fixed"/>
      <w:tblLook w:val="0600" w:firstRow="0" w:lastRow="0" w:firstColumn="0" w:lastColumn="0" w:noHBand="1" w:noVBand="1"/>
    </w:tblPr>
    <w:tblGrid>
      <w:gridCol w:w="4513"/>
      <w:gridCol w:w="4513"/>
    </w:tblGrid>
    <w:tr w:rsidR="0028627E" w14:paraId="1CB589F4" w14:textId="77777777">
      <w:tc>
        <w:tcPr>
          <w:tcW w:w="4513" w:type="dxa"/>
          <w:tcMar>
            <w:left w:w="0" w:type="dxa"/>
            <w:right w:w="0" w:type="dxa"/>
          </w:tcMar>
        </w:tcPr>
        <w:p w14:paraId="742ECCBF" w14:textId="77777777" w:rsidR="0028627E" w:rsidRDefault="0028627E">
          <w:pPr>
            <w:widowControl w:val="0"/>
          </w:pPr>
        </w:p>
      </w:tc>
      <w:tc>
        <w:tcPr>
          <w:tcW w:w="4513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271A436" w14:textId="77777777" w:rsidR="0028627E" w:rsidRDefault="0028627E">
          <w:pPr>
            <w:widowControl w:val="0"/>
          </w:pPr>
        </w:p>
      </w:tc>
    </w:tr>
  </w:tbl>
  <w:p w14:paraId="7B7A236A" w14:textId="77777777" w:rsidR="0028627E" w:rsidRDefault="0028627E" w:rsidP="006014A3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7E"/>
    <w:rsid w:val="00016F24"/>
    <w:rsid w:val="000271C9"/>
    <w:rsid w:val="00082556"/>
    <w:rsid w:val="000D60F7"/>
    <w:rsid w:val="000E29AE"/>
    <w:rsid w:val="0015579F"/>
    <w:rsid w:val="00247D2C"/>
    <w:rsid w:val="0028627E"/>
    <w:rsid w:val="002A5D00"/>
    <w:rsid w:val="002D5409"/>
    <w:rsid w:val="002F3C50"/>
    <w:rsid w:val="00332CD1"/>
    <w:rsid w:val="00337BDB"/>
    <w:rsid w:val="00393621"/>
    <w:rsid w:val="00395E5A"/>
    <w:rsid w:val="003C7B77"/>
    <w:rsid w:val="004B3D6E"/>
    <w:rsid w:val="004D55CB"/>
    <w:rsid w:val="00556322"/>
    <w:rsid w:val="005B5392"/>
    <w:rsid w:val="005F0093"/>
    <w:rsid w:val="005F7204"/>
    <w:rsid w:val="006014A3"/>
    <w:rsid w:val="006044B3"/>
    <w:rsid w:val="00673E00"/>
    <w:rsid w:val="006C4EFC"/>
    <w:rsid w:val="006F76B9"/>
    <w:rsid w:val="006F7FDD"/>
    <w:rsid w:val="00713FAA"/>
    <w:rsid w:val="00741DF3"/>
    <w:rsid w:val="007677C5"/>
    <w:rsid w:val="007B6E54"/>
    <w:rsid w:val="007E6A0C"/>
    <w:rsid w:val="008365CD"/>
    <w:rsid w:val="008420BE"/>
    <w:rsid w:val="00875346"/>
    <w:rsid w:val="008B52CC"/>
    <w:rsid w:val="00912E02"/>
    <w:rsid w:val="0099756D"/>
    <w:rsid w:val="009A249C"/>
    <w:rsid w:val="009B2ED9"/>
    <w:rsid w:val="009B7187"/>
    <w:rsid w:val="00A07BC2"/>
    <w:rsid w:val="00A1445B"/>
    <w:rsid w:val="00A26547"/>
    <w:rsid w:val="00A849CA"/>
    <w:rsid w:val="00A9071C"/>
    <w:rsid w:val="00AF55F0"/>
    <w:rsid w:val="00C0096A"/>
    <w:rsid w:val="00C36B18"/>
    <w:rsid w:val="00C61106"/>
    <w:rsid w:val="00CD2F10"/>
    <w:rsid w:val="00D37E57"/>
    <w:rsid w:val="00DB1B02"/>
    <w:rsid w:val="00E202A9"/>
    <w:rsid w:val="00E85BB3"/>
    <w:rsid w:val="00EE4855"/>
    <w:rsid w:val="00EF2259"/>
    <w:rsid w:val="00EF7F37"/>
    <w:rsid w:val="00F07F32"/>
    <w:rsid w:val="00F81DF7"/>
    <w:rsid w:val="00F97047"/>
    <w:rsid w:val="00FB750B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97B01"/>
  <w15:docId w15:val="{93C5B6C5-FAF3-4E85-95D5-95D6FB5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lavika">
    <w:name w:val="header"/>
    <w:basedOn w:val="Normlny"/>
    <w:link w:val="HlavikaChar"/>
    <w:uiPriority w:val="99"/>
    <w:unhideWhenUsed/>
    <w:rsid w:val="00D37E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7E57"/>
  </w:style>
  <w:style w:type="paragraph" w:styleId="Pta">
    <w:name w:val="footer"/>
    <w:basedOn w:val="Normlny"/>
    <w:link w:val="PtaChar"/>
    <w:unhideWhenUsed/>
    <w:rsid w:val="00D37E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7E57"/>
  </w:style>
  <w:style w:type="paragraph" w:customStyle="1" w:styleId="MZVnormal">
    <w:name w:val="MZV normal"/>
    <w:basedOn w:val="Normlny"/>
    <w:rsid w:val="006014A3"/>
    <w:rPr>
      <w:rFonts w:eastAsia="Times New Roman" w:cs="Times New Roman"/>
      <w:szCs w:val="24"/>
    </w:rPr>
  </w:style>
  <w:style w:type="character" w:styleId="Hypertextovprepojenie">
    <w:name w:val="Hyperlink"/>
    <w:rsid w:val="00337BD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37BDB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C009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7F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F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22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EF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E6A0C"/>
    <w:pPr>
      <w:spacing w:before="100" w:beforeAutospacing="1" w:after="100" w:afterAutospacing="1"/>
    </w:pPr>
    <w:rPr>
      <w:rFonts w:ascii="Calibri" w:eastAsiaTheme="minorHAnsi" w:hAnsi="Calibri" w:cs="Calibri"/>
      <w:color w:val="auto"/>
    </w:rPr>
  </w:style>
  <w:style w:type="character" w:customStyle="1" w:styleId="wixui-rich-texttext">
    <w:name w:val="wixui-rich-text__text"/>
    <w:basedOn w:val="Predvolenpsmoodseku"/>
    <w:rsid w:val="002F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0A6C-C4A2-46F9-8811-5C81D36D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Tománková</dc:creator>
  <cp:lastModifiedBy>Lenka Rebrová Papcunová</cp:lastModifiedBy>
  <cp:revision>44</cp:revision>
  <cp:lastPrinted>2018-10-31T09:15:00Z</cp:lastPrinted>
  <dcterms:created xsi:type="dcterms:W3CDTF">2018-10-23T09:59:00Z</dcterms:created>
  <dcterms:modified xsi:type="dcterms:W3CDTF">2024-06-06T08:30:00Z</dcterms:modified>
</cp:coreProperties>
</file>